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9384" w14:textId="43A35567" w:rsidR="00195927" w:rsidRPr="00195927" w:rsidRDefault="0013144B" w:rsidP="0013144B">
      <w:pPr>
        <w:ind w:right="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A2FEA">
        <w:rPr>
          <w:rFonts w:ascii="Times New Roman" w:hAnsi="Times New Roman" w:cs="Times New Roman"/>
          <w:sz w:val="24"/>
          <w:szCs w:val="24"/>
        </w:rPr>
        <w:t>Agung Setiawan</w:t>
      </w:r>
    </w:p>
    <w:p w14:paraId="6F0FDDF6" w14:textId="64D46CA5" w:rsidR="00195927" w:rsidRDefault="00C52D5E" w:rsidP="004E30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Information Technology Infrastructure Library (ITIL</w:t>
      </w:r>
      <w:r w:rsidR="00195927" w:rsidRPr="0019592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BA62E8B" w14:textId="1C6F9D55" w:rsidR="00867FD1" w:rsidRDefault="00C52D5E" w:rsidP="00867FD1">
      <w:pPr>
        <w:ind w:left="-567" w:right="26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Technology Infrastructure Library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framework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IT. </w:t>
      </w:r>
      <w:r w:rsidR="0007186E">
        <w:rPr>
          <w:rFonts w:ascii="Times New Roman" w:hAnsi="Times New Roman" w:cs="Times New Roman"/>
          <w:sz w:val="24"/>
          <w:szCs w:val="24"/>
        </w:rPr>
        <w:t xml:space="preserve">ITIL juga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. ITIL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cek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ITIL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6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7186E">
        <w:rPr>
          <w:rFonts w:ascii="Times New Roman" w:hAnsi="Times New Roman" w:cs="Times New Roman"/>
          <w:sz w:val="24"/>
          <w:szCs w:val="24"/>
        </w:rPr>
        <w:t>:</w:t>
      </w:r>
    </w:p>
    <w:p w14:paraId="00F37F34" w14:textId="077101D3" w:rsidR="0007186E" w:rsidRDefault="0007186E" w:rsidP="0007186E">
      <w:pPr>
        <w:pStyle w:val="ListParagraph"/>
        <w:numPr>
          <w:ilvl w:val="0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</w:t>
      </w:r>
    </w:p>
    <w:p w14:paraId="155FC323" w14:textId="6DD4B183" w:rsidR="0007186E" w:rsidRDefault="0007186E" w:rsidP="0007186E">
      <w:pPr>
        <w:pStyle w:val="ListParagraph"/>
        <w:numPr>
          <w:ilvl w:val="0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13AAF1B8" w14:textId="17206790" w:rsidR="0007186E" w:rsidRDefault="0007186E" w:rsidP="0007186E">
      <w:pPr>
        <w:pStyle w:val="ListParagraph"/>
        <w:numPr>
          <w:ilvl w:val="0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(rework)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D593C">
        <w:rPr>
          <w:rFonts w:ascii="Times New Roman" w:hAnsi="Times New Roman" w:cs="Times New Roman"/>
          <w:sz w:val="24"/>
          <w:szCs w:val="24"/>
        </w:rPr>
        <w:t>erbuang</w:t>
      </w:r>
      <w:proofErr w:type="spellEnd"/>
      <w:r w:rsidR="00CD59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D59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3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D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3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D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3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D5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93C">
        <w:rPr>
          <w:rFonts w:ascii="Times New Roman" w:hAnsi="Times New Roman" w:cs="Times New Roman"/>
          <w:sz w:val="24"/>
          <w:szCs w:val="24"/>
        </w:rPr>
        <w:t>sumberdaya</w:t>
      </w:r>
      <w:proofErr w:type="spellEnd"/>
    </w:p>
    <w:p w14:paraId="5131B9D5" w14:textId="0E5CAA46" w:rsidR="00CD593C" w:rsidRDefault="00CD593C" w:rsidP="0007186E">
      <w:pPr>
        <w:pStyle w:val="ListParagraph"/>
        <w:numPr>
          <w:ilvl w:val="0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to market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baru</w:t>
      </w:r>
    </w:p>
    <w:p w14:paraId="2C107F4D" w14:textId="56FE0E50" w:rsidR="001D5B3B" w:rsidRDefault="00CD593C" w:rsidP="001D5B3B">
      <w:pPr>
        <w:pStyle w:val="ListParagraph"/>
        <w:numPr>
          <w:ilvl w:val="0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</w:t>
      </w:r>
      <w:r w:rsidR="001D5B3B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14:paraId="1C909EC1" w14:textId="6173EFE5" w:rsidR="001D5B3B" w:rsidRDefault="001D5B3B" w:rsidP="001D5B3B">
      <w:pPr>
        <w:ind w:left="-567" w:right="26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Framework ITIL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Framework ITIL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7C71C3A" w14:textId="046AC27E" w:rsidR="001D5B3B" w:rsidRPr="001D5B3B" w:rsidRDefault="001D5B3B" w:rsidP="001D5B3B">
      <w:pPr>
        <w:pStyle w:val="ListParagraph"/>
        <w:numPr>
          <w:ilvl w:val="0"/>
          <w:numId w:val="4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Service Strategy</w:t>
      </w:r>
    </w:p>
    <w:p w14:paraId="0EB41B8A" w14:textId="552BF4B2" w:rsidR="001D5B3B" w:rsidRDefault="001D5B3B" w:rsidP="001D5B3B">
      <w:pPr>
        <w:pStyle w:val="ListParagraph"/>
        <w:ind w:right="26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3B">
        <w:rPr>
          <w:rFonts w:ascii="Times New Roman" w:hAnsi="Times New Roman" w:cs="Times New Roman"/>
          <w:i/>
          <w:iCs/>
          <w:sz w:val="24"/>
          <w:szCs w:val="24"/>
        </w:rPr>
        <w:t>Service 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ITIL.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Service Strategy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konsep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ITIL,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panduan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perancangan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keseluruhan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siklus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ITIL.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Strategy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panduan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Design, Service Transition, Service Operation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dan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Continual Service Improvement.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Proses inti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Strategy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lain;</w:t>
      </w:r>
    </w:p>
    <w:p w14:paraId="12572DE1" w14:textId="02B4EDC2" w:rsidR="001D5B3B" w:rsidRDefault="001D5B3B" w:rsidP="001D5B3B">
      <w:pPr>
        <w:pStyle w:val="ListParagraph"/>
        <w:numPr>
          <w:ilvl w:val="1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Strategy Management for IT service</w:t>
      </w:r>
    </w:p>
    <w:p w14:paraId="7211EE03" w14:textId="191CAD68" w:rsidR="001D5B3B" w:rsidRDefault="001D5B3B" w:rsidP="001D5B3B">
      <w:pPr>
        <w:pStyle w:val="ListParagraph"/>
        <w:numPr>
          <w:ilvl w:val="1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Portfolio Management</w:t>
      </w:r>
    </w:p>
    <w:p w14:paraId="7C353429" w14:textId="7BEFB398" w:rsidR="001D5B3B" w:rsidRDefault="001D5B3B" w:rsidP="001D5B3B">
      <w:pPr>
        <w:pStyle w:val="ListParagraph"/>
        <w:numPr>
          <w:ilvl w:val="1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Management for IT service</w:t>
      </w:r>
    </w:p>
    <w:p w14:paraId="35C9D730" w14:textId="25410D65" w:rsidR="001D5B3B" w:rsidRDefault="001D5B3B" w:rsidP="001D5B3B">
      <w:pPr>
        <w:pStyle w:val="ListParagraph"/>
        <w:numPr>
          <w:ilvl w:val="1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Management</w:t>
      </w:r>
    </w:p>
    <w:p w14:paraId="4BABABB7" w14:textId="66ABE71F" w:rsidR="001D5B3B" w:rsidRDefault="001D5B3B" w:rsidP="001D5B3B">
      <w:pPr>
        <w:pStyle w:val="ListParagraph"/>
        <w:numPr>
          <w:ilvl w:val="1"/>
          <w:numId w:val="3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Relationship Management</w:t>
      </w:r>
    </w:p>
    <w:p w14:paraId="6BCE8D51" w14:textId="7D4D2D95" w:rsidR="001D5B3B" w:rsidRDefault="001D5B3B" w:rsidP="001D5B3B">
      <w:pPr>
        <w:pStyle w:val="ListParagraph"/>
        <w:numPr>
          <w:ilvl w:val="0"/>
          <w:numId w:val="4"/>
        </w:numPr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Service Design</w:t>
      </w:r>
    </w:p>
    <w:p w14:paraId="03561F64" w14:textId="77777777" w:rsidR="001D5B3B" w:rsidRDefault="001D5B3B" w:rsidP="001D5B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65DA">
        <w:rPr>
          <w:rFonts w:ascii="Times New Roman" w:hAnsi="Times New Roman" w:cs="Times New Roman"/>
          <w:sz w:val="24"/>
          <w:szCs w:val="24"/>
        </w:rPr>
        <w:t>Service Design 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ITSM itu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>. </w:t>
      </w:r>
      <w:r w:rsidRPr="000C672B">
        <w:rPr>
          <w:rFonts w:ascii="Times New Roman" w:hAnsi="Times New Roman" w:cs="Times New Roman"/>
          <w:i/>
          <w:sz w:val="24"/>
          <w:szCs w:val="24"/>
        </w:rPr>
        <w:t>Service Design</w:t>
      </w:r>
      <w:r w:rsidRPr="00AC65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mengkonversi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koleksi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aset-aset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 server, storage dan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0C672B">
        <w:rPr>
          <w:rFonts w:ascii="Times New Roman" w:hAnsi="Times New Roman" w:cs="Times New Roman"/>
          <w:i/>
          <w:sz w:val="24"/>
          <w:szCs w:val="24"/>
        </w:rPr>
        <w:t>Service Design</w:t>
      </w:r>
      <w:r w:rsidRPr="00AC65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baru,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juga proses-proses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>.</w:t>
      </w:r>
    </w:p>
    <w:p w14:paraId="60D96092" w14:textId="6F2E8608" w:rsidR="001D5B3B" w:rsidRPr="00AC65DA" w:rsidRDefault="001D5B3B" w:rsidP="001D5B3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Service Transition</w:t>
      </w:r>
    </w:p>
    <w:p w14:paraId="14DAB0B5" w14:textId="3D1AC87C" w:rsidR="001D5B3B" w:rsidRDefault="001D5B3B" w:rsidP="001D5B3B">
      <w:pPr>
        <w:pStyle w:val="ListParagraph"/>
        <w:ind w:right="26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Operation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panduan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implementasi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operasi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Operation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pelanggaran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mengatur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aplikasi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infrastruktur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mendukung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penyampaian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Strategy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disampaikan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Design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merancang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nilai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Transition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mengubah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rancangan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sebenarnya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Service Operation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menjamin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tersampaikan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78A23EC" w14:textId="369AC7F9" w:rsidR="001D5B3B" w:rsidRPr="001D5B3B" w:rsidRDefault="001D5B3B" w:rsidP="001D5B3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Service Operation</w:t>
      </w:r>
    </w:p>
    <w:p w14:paraId="47C8DFD3" w14:textId="77777777" w:rsidR="001D5B3B" w:rsidRDefault="001D5B3B" w:rsidP="001D5B3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C672B">
        <w:rPr>
          <w:rFonts w:ascii="Times New Roman" w:hAnsi="Times New Roman" w:cs="Times New Roman"/>
          <w:i/>
          <w:sz w:val="24"/>
          <w:szCs w:val="24"/>
        </w:rPr>
        <w:t>Service Operation</w:t>
      </w:r>
      <w:r w:rsidRPr="00AC65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> </w:t>
      </w:r>
      <w:r w:rsidRPr="000C672B">
        <w:rPr>
          <w:rFonts w:ascii="Times New Roman" w:hAnsi="Times New Roman" w:cs="Times New Roman"/>
          <w:i/>
          <w:sz w:val="24"/>
          <w:szCs w:val="24"/>
        </w:rPr>
        <w:t>lifecycle</w:t>
      </w:r>
      <w:r w:rsidRPr="00AC65DA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layanan-layanan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diperjanjikan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>. Panduan-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5D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C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C65DA">
        <w:rPr>
          <w:rFonts w:ascii="Times New Roman" w:hAnsi="Times New Roman" w:cs="Times New Roman"/>
          <w:sz w:val="24"/>
          <w:szCs w:val="24"/>
        </w:rPr>
        <w:t>.</w:t>
      </w:r>
    </w:p>
    <w:p w14:paraId="6AF66E40" w14:textId="2AD3AA68" w:rsidR="001D5B3B" w:rsidRPr="001D5B3B" w:rsidRDefault="001D5B3B" w:rsidP="001D5B3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Continual Service Improvement</w:t>
      </w:r>
    </w:p>
    <w:p w14:paraId="153D28A2" w14:textId="02A647B6" w:rsidR="001D5B3B" w:rsidRDefault="001D5B3B" w:rsidP="001D5B3B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Continual Service Improvement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berkaitan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perbaikan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pelanggan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evaliasi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berkelanjutan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perbaikan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Continual Service Improvement 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mengkombinasikan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prinsip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metode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perubahan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memperbaiki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kapabilitas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memperbaiki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siklus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D5B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ITIL</w:t>
      </w:r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proses,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aktifitas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D5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019B1A3" w14:textId="77777777" w:rsidR="001D5B3B" w:rsidRDefault="001D5B3B" w:rsidP="001D5B3B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3831E43" w14:textId="405AA4A5" w:rsidR="001D5B3B" w:rsidRDefault="001D5B3B" w:rsidP="009323F2">
      <w:pPr>
        <w:pStyle w:val="ListParagraph"/>
        <w:spacing w:after="200" w:line="276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3654C04" wp14:editId="116FAD0A">
            <wp:extent cx="5935065" cy="261257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ident_lifecycl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251" cy="262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B1A4A" w14:textId="57DC8C9B" w:rsidR="009323F2" w:rsidRDefault="009323F2" w:rsidP="001D5B3B">
      <w:pPr>
        <w:pStyle w:val="ListParagraph"/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FAFDA" w14:textId="747AF82D" w:rsidR="009323F2" w:rsidRDefault="009323F2" w:rsidP="009323F2">
      <w:pPr>
        <w:pStyle w:val="ListParagraph"/>
        <w:spacing w:after="20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926">
        <w:rPr>
          <w:rFonts w:ascii="Times New Roman" w:hAnsi="Times New Roman" w:cs="Times New Roman"/>
          <w:i/>
          <w:sz w:val="24"/>
          <w:szCs w:val="24"/>
        </w:rPr>
        <w:t>Mean Time Between Failure</w:t>
      </w:r>
      <w:r w:rsidRPr="00787926">
        <w:rPr>
          <w:rFonts w:ascii="Times New Roman" w:hAnsi="Times New Roman" w:cs="Times New Roman"/>
          <w:sz w:val="24"/>
          <w:szCs w:val="24"/>
        </w:rPr>
        <w:t xml:space="preserve"> (MTBF)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r w:rsidRPr="00787926">
        <w:rPr>
          <w:rFonts w:ascii="Times New Roman" w:hAnsi="Times New Roman" w:cs="Times New Roman"/>
          <w:i/>
          <w:sz w:val="24"/>
          <w:szCs w:val="24"/>
        </w:rPr>
        <w:t>reliability</w:t>
      </w:r>
      <w:r w:rsidRPr="007879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 xml:space="preserve"> </w:t>
      </w:r>
      <w:r w:rsidRPr="00787926">
        <w:rPr>
          <w:rFonts w:ascii="Times New Roman" w:hAnsi="Times New Roman" w:cs="Times New Roman"/>
          <w:i/>
          <w:sz w:val="24"/>
          <w:szCs w:val="24"/>
        </w:rPr>
        <w:t>failure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787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MTBF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MTBF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926">
        <w:rPr>
          <w:rFonts w:ascii="Times New Roman" w:hAnsi="Times New Roman" w:cs="Times New Roman"/>
          <w:i/>
          <w:sz w:val="24"/>
          <w:szCs w:val="24"/>
        </w:rPr>
        <w:t>human error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3872A1" w14:textId="1BB8A88A" w:rsidR="009323F2" w:rsidRDefault="009323F2" w:rsidP="009323F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MTBF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MTBF,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7F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D7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Nilai MTBF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MTBF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2674B3" w14:textId="34BDF3D3" w:rsidR="009323F2" w:rsidRDefault="009323F2" w:rsidP="009323F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53A0F894" wp14:editId="616D2F56">
            <wp:extent cx="2034540" cy="598773"/>
            <wp:effectExtent l="0" t="0" r="3810" b="0"/>
            <wp:docPr id="1" name="Picture 1" descr="C:\Users\Lenovo\Pictures\MT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MT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9B98" w14:textId="77777777" w:rsidR="009323F2" w:rsidRDefault="009323F2" w:rsidP="009323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EBF839" w14:textId="77777777" w:rsidR="009323F2" w:rsidRDefault="009323F2" w:rsidP="009323F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MTBF = </w:t>
      </w:r>
      <w:r w:rsidRPr="000C672B">
        <w:rPr>
          <w:rFonts w:ascii="Times New Roman" w:hAnsi="Times New Roman" w:cs="Times New Roman"/>
          <w:i/>
          <w:sz w:val="24"/>
          <w:szCs w:val="24"/>
        </w:rPr>
        <w:t>Mean Time Between Failure</w:t>
      </w:r>
    </w:p>
    <w:p w14:paraId="059E9307" w14:textId="77777777" w:rsidR="009323F2" w:rsidRDefault="009323F2" w:rsidP="009323F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72B">
        <w:rPr>
          <w:rFonts w:ascii="Times New Roman" w:hAnsi="Times New Roman" w:cs="Times New Roman"/>
          <w:i/>
          <w:sz w:val="24"/>
          <w:szCs w:val="24"/>
        </w:rPr>
        <w:t>tUptime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Waktu optimal</w:t>
      </w:r>
    </w:p>
    <w:p w14:paraId="2F7B31BC" w14:textId="77777777" w:rsidR="009323F2" w:rsidRPr="000C672B" w:rsidRDefault="009323F2" w:rsidP="009323F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72B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14:paraId="763FA99C" w14:textId="77777777" w:rsidR="009323F2" w:rsidRDefault="009323F2" w:rsidP="009323F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8FC8B1" w14:textId="77777777" w:rsidR="009323F2" w:rsidRPr="009323F2" w:rsidRDefault="009323F2" w:rsidP="009323F2">
      <w:pPr>
        <w:pStyle w:val="ListParagraph"/>
        <w:spacing w:after="200" w:line="276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9323F2" w:rsidRPr="009323F2" w:rsidSect="00195927">
      <w:pgSz w:w="11906" w:h="16838" w:code="9"/>
      <w:pgMar w:top="1440" w:right="566" w:bottom="1440" w:left="1440" w:header="720" w:footer="93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340EF"/>
    <w:multiLevelType w:val="hybridMultilevel"/>
    <w:tmpl w:val="4448FBF4"/>
    <w:lvl w:ilvl="0" w:tplc="69F2C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F2CC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AA2"/>
    <w:multiLevelType w:val="hybridMultilevel"/>
    <w:tmpl w:val="673E14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762F7"/>
    <w:multiLevelType w:val="hybridMultilevel"/>
    <w:tmpl w:val="503EE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1ADB"/>
    <w:multiLevelType w:val="hybridMultilevel"/>
    <w:tmpl w:val="C076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27535"/>
    <w:multiLevelType w:val="hybridMultilevel"/>
    <w:tmpl w:val="CFF2F6A2"/>
    <w:lvl w:ilvl="0" w:tplc="69F2C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674CB"/>
    <w:multiLevelType w:val="hybridMultilevel"/>
    <w:tmpl w:val="2BFE1E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7"/>
    <w:rsid w:val="00001BFA"/>
    <w:rsid w:val="0007186E"/>
    <w:rsid w:val="001227FB"/>
    <w:rsid w:val="0013144B"/>
    <w:rsid w:val="00195927"/>
    <w:rsid w:val="001D5B3B"/>
    <w:rsid w:val="001E4744"/>
    <w:rsid w:val="0040560E"/>
    <w:rsid w:val="00472B6F"/>
    <w:rsid w:val="004A2FEA"/>
    <w:rsid w:val="004E30B0"/>
    <w:rsid w:val="006E5708"/>
    <w:rsid w:val="00731327"/>
    <w:rsid w:val="00867FD1"/>
    <w:rsid w:val="009323F2"/>
    <w:rsid w:val="00B47CC5"/>
    <w:rsid w:val="00C52D5E"/>
    <w:rsid w:val="00CD3609"/>
    <w:rsid w:val="00CD593C"/>
    <w:rsid w:val="00CD5D00"/>
    <w:rsid w:val="00D16EDC"/>
    <w:rsid w:val="00DE7817"/>
    <w:rsid w:val="00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B2DF"/>
  <w15:chartTrackingRefBased/>
  <w15:docId w15:val="{7773DBC7-4402-42C8-B494-DFD21D7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2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Setiawan</dc:creator>
  <cp:keywords/>
  <dc:description/>
  <cp:lastModifiedBy>Agung Setiawan</cp:lastModifiedBy>
  <cp:revision>3</cp:revision>
  <dcterms:created xsi:type="dcterms:W3CDTF">2020-02-27T05:41:00Z</dcterms:created>
  <dcterms:modified xsi:type="dcterms:W3CDTF">2020-02-27T13:56:00Z</dcterms:modified>
</cp:coreProperties>
</file>